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A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394C9FA" wp14:editId="5E1555A8">
            <wp:simplePos x="0" y="0"/>
            <wp:positionH relativeFrom="column">
              <wp:posOffset>4303141</wp:posOffset>
            </wp:positionH>
            <wp:positionV relativeFrom="paragraph">
              <wp:posOffset>0</wp:posOffset>
            </wp:positionV>
            <wp:extent cx="1414800" cy="8532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PL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869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0869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0869" w:rsidRPr="00967C57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262A" w:rsidRPr="00967C57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7D43" w:rsidRPr="00967C57" w:rsidRDefault="00837D43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7D43" w:rsidRDefault="00967C57" w:rsidP="0096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7C57">
        <w:rPr>
          <w:rFonts w:ascii="Arial" w:hAnsi="Arial" w:cs="Arial"/>
          <w:b/>
          <w:bCs/>
          <w:noProof/>
          <w:lang w:eastAsia="en-AU"/>
        </w:rPr>
        <w:drawing>
          <wp:inline distT="0" distB="0" distL="0" distR="0" wp14:anchorId="7EDCDC68" wp14:editId="7A0089B3">
            <wp:extent cx="8763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o-ban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1" cy="87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57" w:rsidRPr="00967C57" w:rsidRDefault="00967C57" w:rsidP="0096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7D43" w:rsidRPr="00967C57" w:rsidRDefault="00967C57" w:rsidP="00967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Bank</w:t>
      </w:r>
    </w:p>
    <w:p w:rsidR="00A8262A" w:rsidRPr="00967C57" w:rsidRDefault="00620DC6" w:rsidP="00A82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</w:t>
      </w:r>
      <w:r w:rsidRPr="00967C57">
        <w:rPr>
          <w:rFonts w:ascii="Arial" w:hAnsi="Arial" w:cs="Arial"/>
          <w:b/>
          <w:bCs/>
        </w:rPr>
        <w:t>-Approval</w:t>
      </w:r>
      <w:r w:rsidR="00A8262A" w:rsidRPr="00967C57">
        <w:rPr>
          <w:rFonts w:ascii="Arial" w:hAnsi="Arial" w:cs="Arial"/>
          <w:b/>
          <w:bCs/>
        </w:rPr>
        <w:t xml:space="preserve"> Advice</w:t>
      </w:r>
    </w:p>
    <w:p w:rsidR="00A8262A" w:rsidRPr="00967C57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262A" w:rsidRPr="00967C57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262A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Bank Manager</w:t>
      </w: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Bank</w:t>
      </w: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 email</w:t>
      </w: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3160B" w:rsidRPr="00967C57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XX XX XX</w:t>
      </w:r>
    </w:p>
    <w:p w:rsidR="00967C57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C57" w:rsidRPr="0013160B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>Dear Bank Manager,</w:t>
      </w:r>
    </w:p>
    <w:p w:rsidR="00995429" w:rsidRPr="0013160B" w:rsidRDefault="0099542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429" w:rsidRDefault="0099542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RE: </w:t>
      </w:r>
      <w:r w:rsidR="00637A1C">
        <w:rPr>
          <w:rFonts w:ascii="Arial" w:hAnsi="Arial" w:cs="Arial"/>
          <w:sz w:val="20"/>
          <w:szCs w:val="20"/>
        </w:rPr>
        <w:t>Pre-A</w:t>
      </w:r>
      <w:r w:rsidR="0013160B">
        <w:rPr>
          <w:rFonts w:ascii="Arial" w:hAnsi="Arial" w:cs="Arial"/>
          <w:sz w:val="20"/>
          <w:szCs w:val="20"/>
        </w:rPr>
        <w:t xml:space="preserve">pproval </w:t>
      </w:r>
      <w:r w:rsidR="00637A1C">
        <w:rPr>
          <w:rFonts w:ascii="Arial" w:hAnsi="Arial" w:cs="Arial"/>
          <w:sz w:val="20"/>
          <w:szCs w:val="20"/>
        </w:rPr>
        <w:t xml:space="preserve">Advice </w:t>
      </w:r>
      <w:r w:rsidR="0013160B">
        <w:rPr>
          <w:rFonts w:ascii="Arial" w:hAnsi="Arial" w:cs="Arial"/>
          <w:sz w:val="20"/>
          <w:szCs w:val="20"/>
        </w:rPr>
        <w:t xml:space="preserve">for </w:t>
      </w:r>
      <w:r w:rsidRPr="0013160B">
        <w:rPr>
          <w:rFonts w:ascii="Arial" w:hAnsi="Arial" w:cs="Arial"/>
          <w:sz w:val="20"/>
          <w:szCs w:val="20"/>
        </w:rPr>
        <w:t xml:space="preserve">John Smith </w:t>
      </w:r>
    </w:p>
    <w:p w:rsidR="0013160B" w:rsidRP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I am pleased to issue </w:t>
      </w:r>
      <w:r w:rsidRPr="0013160B">
        <w:rPr>
          <w:rFonts w:ascii="Arial" w:hAnsi="Arial" w:cs="Arial"/>
          <w:b/>
          <w:bCs/>
          <w:sz w:val="20"/>
          <w:szCs w:val="20"/>
        </w:rPr>
        <w:t xml:space="preserve">Conditional Approval </w:t>
      </w:r>
      <w:r w:rsidRPr="0013160B">
        <w:rPr>
          <w:rFonts w:ascii="Arial" w:hAnsi="Arial" w:cs="Arial"/>
          <w:sz w:val="20"/>
          <w:szCs w:val="20"/>
        </w:rPr>
        <w:t>for the above named customer.</w:t>
      </w: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We can proceed to </w:t>
      </w:r>
      <w:r w:rsidRPr="0013160B">
        <w:rPr>
          <w:rFonts w:ascii="Arial" w:hAnsi="Arial" w:cs="Arial"/>
          <w:b/>
          <w:bCs/>
          <w:sz w:val="20"/>
          <w:szCs w:val="20"/>
        </w:rPr>
        <w:t xml:space="preserve">Formal Approval </w:t>
      </w:r>
      <w:r w:rsidRPr="0013160B">
        <w:rPr>
          <w:rFonts w:ascii="Arial" w:hAnsi="Arial" w:cs="Arial"/>
          <w:sz w:val="20"/>
          <w:szCs w:val="20"/>
        </w:rPr>
        <w:t>subject to you satisfying the Conditions listed in the attached Loan Approval Summary.</w:t>
      </w: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Should you have any questions regarding the above, please call me on </w:t>
      </w:r>
      <w:r w:rsidRPr="0013160B">
        <w:rPr>
          <w:rFonts w:ascii="Arial" w:hAnsi="Arial" w:cs="Arial"/>
          <w:b/>
          <w:bCs/>
          <w:sz w:val="20"/>
          <w:szCs w:val="20"/>
        </w:rPr>
        <w:t>1300 XXX XXX</w:t>
      </w:r>
      <w:r w:rsidRPr="0013160B">
        <w:rPr>
          <w:rFonts w:ascii="Arial" w:hAnsi="Arial" w:cs="Arial"/>
          <w:sz w:val="20"/>
          <w:szCs w:val="20"/>
        </w:rPr>
        <w:t>.</w:t>
      </w:r>
    </w:p>
    <w:p w:rsidR="00967C57" w:rsidRPr="0013160B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Thanks for your continuing support of </w:t>
      </w:r>
      <w:r w:rsidR="00967C57" w:rsidRPr="0013160B">
        <w:rPr>
          <w:rFonts w:ascii="Arial" w:hAnsi="Arial" w:cs="Arial"/>
          <w:sz w:val="20"/>
          <w:szCs w:val="20"/>
        </w:rPr>
        <w:t xml:space="preserve">The Bank. </w:t>
      </w:r>
    </w:p>
    <w:p w:rsidR="0013160B" w:rsidRP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>Yours sincerely,</w:t>
      </w: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60B" w:rsidRP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>Senior Credit Manager</w:t>
      </w: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60B">
        <w:rPr>
          <w:rFonts w:ascii="Arial" w:hAnsi="Arial" w:cs="Arial"/>
          <w:sz w:val="20"/>
          <w:szCs w:val="20"/>
        </w:rPr>
        <w:t xml:space="preserve">The Bank </w:t>
      </w: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13160B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62A" w:rsidRPr="00967C57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262A" w:rsidRDefault="00A8262A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C57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C57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C57" w:rsidRDefault="00967C57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60B" w:rsidRDefault="0013160B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D43" w:rsidRPr="0013160B" w:rsidRDefault="00837D43" w:rsidP="0052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C57" w:rsidRPr="0013160B" w:rsidRDefault="00A8262A" w:rsidP="0052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3160B">
        <w:rPr>
          <w:rFonts w:ascii="Arial" w:hAnsi="Arial" w:cs="Arial"/>
          <w:b/>
          <w:bCs/>
          <w:i/>
          <w:iCs/>
          <w:sz w:val="20"/>
          <w:szCs w:val="20"/>
        </w:rPr>
        <w:t xml:space="preserve">PLEASE NOTE </w:t>
      </w:r>
      <w:r w:rsidRPr="0013160B">
        <w:rPr>
          <w:rFonts w:ascii="Arial" w:hAnsi="Arial" w:cs="Arial"/>
          <w:i/>
          <w:iCs/>
          <w:sz w:val="20"/>
          <w:szCs w:val="20"/>
        </w:rPr>
        <w:t xml:space="preserve">that this is </w:t>
      </w:r>
      <w:r w:rsidRPr="0013160B">
        <w:rPr>
          <w:rFonts w:ascii="Arial" w:hAnsi="Arial" w:cs="Arial"/>
          <w:i/>
          <w:iCs/>
          <w:sz w:val="20"/>
          <w:szCs w:val="20"/>
          <w:u w:val="single"/>
        </w:rPr>
        <w:t>not an offer</w:t>
      </w:r>
      <w:r w:rsidR="00B94BD8">
        <w:rPr>
          <w:rFonts w:ascii="Arial" w:hAnsi="Arial" w:cs="Arial"/>
          <w:i/>
          <w:iCs/>
          <w:sz w:val="20"/>
          <w:szCs w:val="20"/>
        </w:rPr>
        <w:t xml:space="preserve"> to lend the c</w:t>
      </w:r>
      <w:r w:rsidRPr="0013160B">
        <w:rPr>
          <w:rFonts w:ascii="Arial" w:hAnsi="Arial" w:cs="Arial"/>
          <w:i/>
          <w:iCs/>
          <w:sz w:val="20"/>
          <w:szCs w:val="20"/>
        </w:rPr>
        <w:t xml:space="preserve">lient money. Approval may be withdrawn at any time up until settlement should you / the </w:t>
      </w:r>
      <w:r w:rsidR="00B94BD8">
        <w:rPr>
          <w:rFonts w:ascii="Arial" w:hAnsi="Arial" w:cs="Arial"/>
          <w:i/>
          <w:iCs/>
          <w:sz w:val="20"/>
          <w:szCs w:val="20"/>
        </w:rPr>
        <w:t>cl</w:t>
      </w:r>
      <w:r w:rsidR="00B94BD8" w:rsidRPr="0013160B">
        <w:rPr>
          <w:rFonts w:ascii="Arial" w:hAnsi="Arial" w:cs="Arial"/>
          <w:i/>
          <w:iCs/>
          <w:sz w:val="20"/>
          <w:szCs w:val="20"/>
        </w:rPr>
        <w:t>ient</w:t>
      </w:r>
      <w:r w:rsidRPr="0013160B">
        <w:rPr>
          <w:rFonts w:ascii="Arial" w:hAnsi="Arial" w:cs="Arial"/>
          <w:i/>
          <w:iCs/>
          <w:sz w:val="20"/>
          <w:szCs w:val="20"/>
        </w:rPr>
        <w:t xml:space="preserve"> not be able to satisfy the stated approval conditions or if we are made aware of any information which would have originally caused us to assess the Loan Application differently.</w:t>
      </w:r>
    </w:p>
    <w:p w:rsidR="00967C57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2EC094AF" wp14:editId="2D14D850">
            <wp:simplePos x="0" y="0"/>
            <wp:positionH relativeFrom="column">
              <wp:posOffset>4462272</wp:posOffset>
            </wp:positionH>
            <wp:positionV relativeFrom="paragraph">
              <wp:posOffset>0</wp:posOffset>
            </wp:positionV>
            <wp:extent cx="1414800" cy="853200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PL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FBD" w:rsidRDefault="00522FBD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90869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90869" w:rsidRDefault="00790869" w:rsidP="00A8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67C57" w:rsidRDefault="00967C57" w:rsidP="00967C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967C57">
        <w:rPr>
          <w:rFonts w:ascii="Arial" w:hAnsi="Arial" w:cs="Arial"/>
          <w:b/>
          <w:bCs/>
          <w:noProof/>
          <w:lang w:eastAsia="en-AU"/>
        </w:rPr>
        <w:drawing>
          <wp:inline distT="0" distB="0" distL="0" distR="0" wp14:anchorId="276DFDFC" wp14:editId="41B5650B">
            <wp:extent cx="876300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o-bank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1" cy="87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57" w:rsidRDefault="00967C57" w:rsidP="00967C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967C57" w:rsidRDefault="00967C57" w:rsidP="00967C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The Bank</w:t>
      </w:r>
    </w:p>
    <w:p w:rsidR="00967C57" w:rsidRDefault="00967C57" w:rsidP="00967C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Loan Approval Summary</w:t>
      </w:r>
    </w:p>
    <w:p w:rsidR="001E747C" w:rsidRDefault="001E747C" w:rsidP="00967C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262"/>
      </w:tblGrid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Borrower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Cs/>
                <w:sz w:val="20"/>
                <w:szCs w:val="20"/>
              </w:rPr>
              <w:t xml:space="preserve">John Smith </w:t>
            </w:r>
          </w:p>
        </w:tc>
      </w:tr>
      <w:tr w:rsidR="001E747C" w:rsidRPr="006F6E3A" w:rsidTr="006F6E3A">
        <w:trPr>
          <w:trHeight w:val="335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6F6E3A">
              <w:rPr>
                <w:rFonts w:ascii="Arial" w:hAnsi="Arial" w:cs="Arial"/>
                <w:sz w:val="20"/>
                <w:szCs w:val="20"/>
              </w:rPr>
              <w:t>1 First Home Buyer Street, Mortgage Ville, VIC, 0022</w:t>
            </w:r>
          </w:p>
        </w:tc>
      </w:tr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Security Address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T.B.A</w:t>
            </w:r>
          </w:p>
        </w:tc>
      </w:tr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Security Value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$600,000</w:t>
            </w:r>
          </w:p>
        </w:tc>
      </w:tr>
      <w:tr w:rsidR="001E747C" w:rsidRPr="006F6E3A" w:rsidTr="006F6E3A">
        <w:trPr>
          <w:trHeight w:val="335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Total Loan Amount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$480,000</w:t>
            </w:r>
          </w:p>
        </w:tc>
      </w:tr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Loan to Value Ratio (LVR)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80%</w:t>
            </w:r>
          </w:p>
        </w:tc>
      </w:tr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Indicative Interest Rate</w:t>
            </w:r>
          </w:p>
        </w:tc>
        <w:tc>
          <w:tcPr>
            <w:tcW w:w="5262" w:type="dxa"/>
          </w:tcPr>
          <w:p w:rsidR="001E747C" w:rsidRPr="006F6E3A" w:rsidRDefault="00EC2EDB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4</w:t>
            </w:r>
            <w:r w:rsidR="006F6E3A">
              <w:rPr>
                <w:rFonts w:ascii="Times-Bold" w:hAnsi="Times-Bold" w:cs="Times-Bold"/>
                <w:bCs/>
                <w:sz w:val="20"/>
                <w:szCs w:val="20"/>
              </w:rPr>
              <w:t>.29%</w:t>
            </w:r>
          </w:p>
        </w:tc>
      </w:tr>
      <w:tr w:rsidR="001E747C" w:rsidRPr="006F6E3A" w:rsidTr="006F6E3A">
        <w:trPr>
          <w:trHeight w:val="335"/>
        </w:trPr>
        <w:tc>
          <w:tcPr>
            <w:tcW w:w="3630" w:type="dxa"/>
          </w:tcPr>
          <w:p w:rsidR="001E747C" w:rsidRPr="006F6E3A" w:rsidRDefault="001E747C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F6E3A">
              <w:rPr>
                <w:rFonts w:ascii="Times-Bold" w:hAnsi="Times-Bold" w:cs="Times-Bold"/>
                <w:b/>
                <w:bCs/>
                <w:sz w:val="20"/>
                <w:szCs w:val="20"/>
              </w:rPr>
              <w:t>Loan Term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Cs/>
                <w:sz w:val="20"/>
                <w:szCs w:val="20"/>
              </w:rPr>
              <w:t>30</w:t>
            </w:r>
          </w:p>
        </w:tc>
      </w:tr>
      <w:tr w:rsidR="001E747C" w:rsidRPr="006F6E3A" w:rsidTr="006F6E3A">
        <w:trPr>
          <w:trHeight w:val="368"/>
        </w:trPr>
        <w:tc>
          <w:tcPr>
            <w:tcW w:w="3630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Repayment type</w:t>
            </w:r>
          </w:p>
        </w:tc>
        <w:tc>
          <w:tcPr>
            <w:tcW w:w="5262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and Interest repayments</w:t>
            </w:r>
          </w:p>
        </w:tc>
      </w:tr>
      <w:tr w:rsidR="001E747C" w:rsidRPr="006F6E3A" w:rsidTr="006F6E3A">
        <w:trPr>
          <w:trHeight w:val="335"/>
        </w:trPr>
        <w:tc>
          <w:tcPr>
            <w:tcW w:w="3630" w:type="dxa"/>
          </w:tcPr>
          <w:p w:rsidR="001E747C" w:rsidRPr="006F6E3A" w:rsidRDefault="006F6E3A" w:rsidP="006F6E3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Repayment Amount</w:t>
            </w:r>
          </w:p>
        </w:tc>
        <w:tc>
          <w:tcPr>
            <w:tcW w:w="5262" w:type="dxa"/>
          </w:tcPr>
          <w:p w:rsidR="001E747C" w:rsidRPr="006F6E3A" w:rsidRDefault="00EC2EDB" w:rsidP="006F6E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$2,373</w:t>
            </w:r>
            <w:r w:rsidR="006F6E3A">
              <w:rPr>
                <w:rFonts w:ascii="Arial" w:hAnsi="Arial" w:cs="Arial"/>
                <w:sz w:val="20"/>
                <w:szCs w:val="20"/>
              </w:rPr>
              <w:t>.00 Notional Monthly payment</w:t>
            </w:r>
          </w:p>
        </w:tc>
      </w:tr>
    </w:tbl>
    <w:p w:rsidR="009E2C67" w:rsidRDefault="009E2C67" w:rsidP="0067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C67" w:rsidRDefault="00620DC6" w:rsidP="00967C5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Cs/>
          <w:sz w:val="20"/>
          <w:szCs w:val="20"/>
        </w:rPr>
        <w:t xml:space="preserve">CONDITIONS OF PRE-APPROVAL </w:t>
      </w:r>
    </w:p>
    <w:p w:rsidR="006F6E3A" w:rsidRDefault="006F6E3A" w:rsidP="00967C5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sz w:val="20"/>
          <w:szCs w:val="20"/>
        </w:rPr>
      </w:pPr>
    </w:p>
    <w:p w:rsidR="00967C57" w:rsidRPr="00F72D79" w:rsidRDefault="00620DC6" w:rsidP="00967C5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sz w:val="20"/>
          <w:szCs w:val="20"/>
        </w:rPr>
      </w:pPr>
      <w:r w:rsidRPr="00F72D79">
        <w:rPr>
          <w:rFonts w:ascii="Times-Bold" w:hAnsi="Times-Bold" w:cs="Times-Bold"/>
          <w:bCs/>
          <w:sz w:val="20"/>
          <w:szCs w:val="20"/>
        </w:rPr>
        <w:t>The below Conditions must be satisfied by The Bank prior to issuance of Formal Loan Approval</w:t>
      </w:r>
    </w:p>
    <w:p w:rsidR="001C2E36" w:rsidRPr="00620DC6" w:rsidRDefault="001C2E36" w:rsidP="00967C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3160B" w:rsidRDefault="00967C57" w:rsidP="00BC08C4">
      <w:r w:rsidRPr="001C2E36">
        <w:rPr>
          <w:rFonts w:ascii="Symbol" w:hAnsi="Symbol" w:cs="Symbol"/>
        </w:rPr>
        <w:t></w:t>
      </w:r>
      <w:r w:rsidRPr="001C2E36">
        <w:rPr>
          <w:rFonts w:ascii="Symbol" w:hAnsi="Symbol" w:cs="Symbol"/>
        </w:rPr>
        <w:t></w:t>
      </w:r>
      <w:r w:rsidRPr="00BC08C4">
        <w:rPr>
          <w:rFonts w:ascii="Arial" w:hAnsi="Arial" w:cs="Arial"/>
          <w:sz w:val="20"/>
          <w:szCs w:val="20"/>
        </w:rPr>
        <w:t xml:space="preserve">Satisfactory </w:t>
      </w:r>
      <w:r w:rsidR="0013160B">
        <w:rPr>
          <w:rFonts w:ascii="Arial" w:hAnsi="Arial" w:cs="Arial"/>
          <w:sz w:val="20"/>
          <w:szCs w:val="20"/>
        </w:rPr>
        <w:t xml:space="preserve">security and </w:t>
      </w:r>
      <w:r w:rsidR="0067097E">
        <w:rPr>
          <w:rFonts w:ascii="Arial" w:hAnsi="Arial" w:cs="Arial"/>
          <w:sz w:val="20"/>
          <w:szCs w:val="20"/>
        </w:rPr>
        <w:t xml:space="preserve">bank valuation </w:t>
      </w:r>
      <w:r w:rsidR="001C2E36" w:rsidRPr="00BC08C4">
        <w:rPr>
          <w:rFonts w:ascii="Arial" w:hAnsi="Arial" w:cs="Arial"/>
          <w:sz w:val="20"/>
          <w:szCs w:val="20"/>
        </w:rPr>
        <w:t xml:space="preserve">for a maximum value of $600,000 </w:t>
      </w:r>
      <w:r w:rsidR="0067097E">
        <w:rPr>
          <w:rFonts w:ascii="Arial" w:hAnsi="Arial" w:cs="Arial"/>
          <w:sz w:val="20"/>
          <w:szCs w:val="20"/>
        </w:rPr>
        <w:t>purchase price</w:t>
      </w:r>
      <w:r w:rsidR="0013160B">
        <w:rPr>
          <w:rFonts w:ascii="Arial" w:hAnsi="Arial" w:cs="Arial"/>
          <w:sz w:val="20"/>
          <w:szCs w:val="20"/>
        </w:rPr>
        <w:t xml:space="preserve"> </w:t>
      </w:r>
      <w:r w:rsidR="0013160B" w:rsidRPr="00BC08C4">
        <w:rPr>
          <w:rFonts w:ascii="Arial" w:hAnsi="Arial" w:cs="Arial"/>
          <w:i/>
          <w:sz w:val="20"/>
          <w:szCs w:val="20"/>
        </w:rPr>
        <w:t xml:space="preserve">(Factors </w:t>
      </w:r>
      <w:r w:rsidR="0013160B">
        <w:rPr>
          <w:rFonts w:ascii="Arial" w:hAnsi="Arial" w:cs="Arial"/>
          <w:i/>
          <w:sz w:val="20"/>
          <w:szCs w:val="20"/>
        </w:rPr>
        <w:t xml:space="preserve">further assessed </w:t>
      </w:r>
      <w:r w:rsidR="0013160B" w:rsidRPr="00BC08C4">
        <w:rPr>
          <w:rFonts w:ascii="Arial" w:hAnsi="Arial" w:cs="Arial"/>
          <w:i/>
          <w:sz w:val="20"/>
          <w:szCs w:val="20"/>
        </w:rPr>
        <w:t xml:space="preserve">are </w:t>
      </w:r>
      <w:r w:rsidR="0067097E">
        <w:rPr>
          <w:rFonts w:ascii="Arial" w:hAnsi="Arial" w:cs="Arial"/>
          <w:i/>
          <w:sz w:val="20"/>
          <w:szCs w:val="20"/>
        </w:rPr>
        <w:t xml:space="preserve">comparable sales, </w:t>
      </w:r>
      <w:r w:rsidR="0013160B" w:rsidRPr="00BC08C4">
        <w:rPr>
          <w:rFonts w:ascii="Arial" w:hAnsi="Arial" w:cs="Arial"/>
          <w:i/>
          <w:sz w:val="20"/>
          <w:szCs w:val="20"/>
        </w:rPr>
        <w:t xml:space="preserve">acceptable postcode, location, condition, size and </w:t>
      </w:r>
      <w:r w:rsidR="0013160B">
        <w:rPr>
          <w:rFonts w:ascii="Arial" w:hAnsi="Arial" w:cs="Arial"/>
          <w:i/>
          <w:sz w:val="20"/>
          <w:szCs w:val="20"/>
        </w:rPr>
        <w:t xml:space="preserve">zoning </w:t>
      </w:r>
      <w:r w:rsidR="0013160B" w:rsidRPr="00BC08C4">
        <w:rPr>
          <w:rFonts w:ascii="Arial" w:hAnsi="Arial" w:cs="Arial"/>
          <w:i/>
          <w:sz w:val="20"/>
          <w:szCs w:val="20"/>
        </w:rPr>
        <w:t>usage</w:t>
      </w:r>
      <w:r w:rsidR="00620DC6">
        <w:rPr>
          <w:rFonts w:ascii="Arial" w:hAnsi="Arial" w:cs="Arial"/>
          <w:i/>
          <w:sz w:val="20"/>
          <w:szCs w:val="20"/>
        </w:rPr>
        <w:t xml:space="preserve"> in line with The Bank credit policy and Responsible Lending Requirements</w:t>
      </w:r>
      <w:r w:rsidR="0013160B" w:rsidRPr="00BC08C4">
        <w:rPr>
          <w:rFonts w:ascii="Arial" w:hAnsi="Arial" w:cs="Arial"/>
          <w:i/>
          <w:sz w:val="20"/>
          <w:szCs w:val="20"/>
        </w:rPr>
        <w:t>)</w:t>
      </w:r>
    </w:p>
    <w:p w:rsidR="00967C57" w:rsidRPr="001C2E36" w:rsidRDefault="00967C57" w:rsidP="00BC08C4">
      <w:r w:rsidRPr="001C2E36">
        <w:rPr>
          <w:rFonts w:ascii="Symbol" w:hAnsi="Symbol" w:cs="Symbol"/>
        </w:rPr>
        <w:t></w:t>
      </w:r>
      <w:r w:rsidRPr="001C2E36">
        <w:rPr>
          <w:rFonts w:ascii="Symbol" w:hAnsi="Symbol" w:cs="Symbol"/>
        </w:rPr>
        <w:t></w:t>
      </w:r>
      <w:r w:rsidR="001C2E36" w:rsidRPr="00BC08C4">
        <w:rPr>
          <w:rFonts w:ascii="Arial" w:hAnsi="Arial" w:cs="Arial"/>
          <w:sz w:val="20"/>
          <w:szCs w:val="20"/>
        </w:rPr>
        <w:t>Executed Co</w:t>
      </w:r>
      <w:r w:rsidRPr="00BC08C4">
        <w:rPr>
          <w:rFonts w:ascii="Arial" w:hAnsi="Arial" w:cs="Arial"/>
          <w:sz w:val="20"/>
          <w:szCs w:val="20"/>
        </w:rPr>
        <w:t>ntract of Sale</w:t>
      </w:r>
      <w:r w:rsidR="001C2E36" w:rsidRPr="00BC08C4">
        <w:rPr>
          <w:rFonts w:ascii="Arial" w:hAnsi="Arial" w:cs="Arial"/>
          <w:sz w:val="20"/>
          <w:szCs w:val="20"/>
        </w:rPr>
        <w:t xml:space="preserve"> </w:t>
      </w:r>
      <w:r w:rsidR="0067097E">
        <w:rPr>
          <w:rFonts w:ascii="Arial" w:hAnsi="Arial" w:cs="Arial"/>
          <w:sz w:val="20"/>
          <w:szCs w:val="20"/>
        </w:rPr>
        <w:t>(</w:t>
      </w:r>
      <w:r w:rsidR="0013160B">
        <w:rPr>
          <w:rFonts w:ascii="Arial" w:hAnsi="Arial" w:cs="Arial"/>
          <w:sz w:val="20"/>
          <w:szCs w:val="20"/>
        </w:rPr>
        <w:t>including details of the borrower’s solicitor</w:t>
      </w:r>
      <w:r w:rsidR="0067097E">
        <w:rPr>
          <w:rFonts w:ascii="Arial" w:hAnsi="Arial" w:cs="Arial"/>
          <w:sz w:val="20"/>
          <w:szCs w:val="20"/>
        </w:rPr>
        <w:t>s) and evidence any deposit monies paid</w:t>
      </w:r>
    </w:p>
    <w:p w:rsidR="00967C57" w:rsidRPr="001C2E36" w:rsidRDefault="00967C57" w:rsidP="00BC08C4">
      <w:r w:rsidRPr="001C2E36">
        <w:rPr>
          <w:rFonts w:ascii="Symbol" w:hAnsi="Symbol" w:cs="Symbol"/>
        </w:rPr>
        <w:t></w:t>
      </w:r>
      <w:r w:rsidRPr="001C2E36">
        <w:rPr>
          <w:rFonts w:ascii="Symbol" w:hAnsi="Symbol" w:cs="Symbol"/>
        </w:rPr>
        <w:t></w:t>
      </w:r>
      <w:r w:rsidR="0013160B">
        <w:rPr>
          <w:rFonts w:ascii="Arial" w:hAnsi="Arial" w:cs="Arial"/>
          <w:sz w:val="20"/>
          <w:szCs w:val="20"/>
        </w:rPr>
        <w:t xml:space="preserve">Pay slips no older than 31 days </w:t>
      </w:r>
      <w:r w:rsidR="00620DC6">
        <w:rPr>
          <w:rFonts w:ascii="Arial" w:hAnsi="Arial" w:cs="Arial"/>
          <w:sz w:val="20"/>
          <w:szCs w:val="20"/>
        </w:rPr>
        <w:t xml:space="preserve">and updated Asset and Liabilities </w:t>
      </w:r>
      <w:r w:rsidR="00F71EC8">
        <w:rPr>
          <w:rFonts w:ascii="Arial" w:hAnsi="Arial" w:cs="Arial"/>
          <w:sz w:val="20"/>
          <w:szCs w:val="20"/>
        </w:rPr>
        <w:t xml:space="preserve">statement </w:t>
      </w:r>
    </w:p>
    <w:p w:rsidR="00967C57" w:rsidRPr="001C2E36" w:rsidRDefault="00967C57" w:rsidP="00BC08C4">
      <w:r w:rsidRPr="001C2E36">
        <w:rPr>
          <w:rFonts w:ascii="Symbol" w:hAnsi="Symbol" w:cs="Symbol"/>
        </w:rPr>
        <w:t></w:t>
      </w:r>
      <w:r w:rsidRPr="001C2E36">
        <w:rPr>
          <w:rFonts w:ascii="Symbol" w:hAnsi="Symbol" w:cs="Symbol"/>
        </w:rPr>
        <w:t></w:t>
      </w:r>
      <w:r w:rsidRPr="00BC08C4">
        <w:rPr>
          <w:rFonts w:ascii="Arial" w:hAnsi="Arial" w:cs="Arial"/>
          <w:sz w:val="20"/>
          <w:szCs w:val="20"/>
        </w:rPr>
        <w:t>Evidence of Funds to Complete</w:t>
      </w:r>
      <w:r w:rsidR="00BC08C4">
        <w:rPr>
          <w:rFonts w:ascii="Arial" w:hAnsi="Arial" w:cs="Arial"/>
          <w:sz w:val="20"/>
          <w:szCs w:val="20"/>
        </w:rPr>
        <w:t xml:space="preserve"> </w:t>
      </w:r>
      <w:r w:rsidR="00F72D79">
        <w:rPr>
          <w:rFonts w:ascii="Arial" w:hAnsi="Arial" w:cs="Arial"/>
          <w:sz w:val="20"/>
          <w:szCs w:val="20"/>
        </w:rPr>
        <w:t>(</w:t>
      </w:r>
      <w:r w:rsidR="00BC08C4">
        <w:rPr>
          <w:rFonts w:ascii="Arial" w:hAnsi="Arial" w:cs="Arial"/>
          <w:sz w:val="20"/>
          <w:szCs w:val="20"/>
        </w:rPr>
        <w:t xml:space="preserve">via full 3 months </w:t>
      </w:r>
      <w:r w:rsidR="00F72D79">
        <w:rPr>
          <w:rFonts w:ascii="Arial" w:hAnsi="Arial" w:cs="Arial"/>
          <w:sz w:val="20"/>
          <w:szCs w:val="20"/>
        </w:rPr>
        <w:t xml:space="preserve">bank </w:t>
      </w:r>
      <w:r w:rsidR="00BC08C4">
        <w:rPr>
          <w:rFonts w:ascii="Arial" w:hAnsi="Arial" w:cs="Arial"/>
          <w:sz w:val="20"/>
          <w:szCs w:val="20"/>
        </w:rPr>
        <w:t>statements</w:t>
      </w:r>
      <w:r w:rsidR="00F72D79">
        <w:rPr>
          <w:rFonts w:ascii="Arial" w:hAnsi="Arial" w:cs="Arial"/>
          <w:sz w:val="20"/>
          <w:szCs w:val="20"/>
        </w:rPr>
        <w:t>)</w:t>
      </w:r>
      <w:r w:rsidR="00BC08C4">
        <w:rPr>
          <w:rFonts w:ascii="Arial" w:hAnsi="Arial" w:cs="Arial"/>
          <w:sz w:val="20"/>
          <w:szCs w:val="20"/>
        </w:rPr>
        <w:t xml:space="preserve"> are required, the most recent statement to be no older than 31 days</w:t>
      </w:r>
    </w:p>
    <w:p w:rsidR="0067097E" w:rsidRPr="00F72D79" w:rsidRDefault="00967C57" w:rsidP="00620DC6">
      <w:pPr>
        <w:rPr>
          <w:rFonts w:ascii="Arial" w:hAnsi="Arial" w:cs="Arial"/>
          <w:sz w:val="20"/>
          <w:szCs w:val="20"/>
        </w:rPr>
      </w:pPr>
      <w:r w:rsidRPr="00F72D79">
        <w:rPr>
          <w:rFonts w:ascii="Symbol" w:hAnsi="Symbol" w:cs="Symbol"/>
        </w:rPr>
        <w:t></w:t>
      </w:r>
      <w:r w:rsidRPr="00F72D79">
        <w:rPr>
          <w:rFonts w:ascii="Symbol" w:hAnsi="Symbol" w:cs="Symbol"/>
        </w:rPr>
        <w:t></w:t>
      </w:r>
      <w:r w:rsidRPr="00F72D79">
        <w:rPr>
          <w:rFonts w:ascii="Arial" w:hAnsi="Arial" w:cs="Arial"/>
          <w:sz w:val="20"/>
          <w:szCs w:val="20"/>
        </w:rPr>
        <w:t>Unconditional approval from The Bank</w:t>
      </w:r>
      <w:r w:rsidR="0013160B" w:rsidRPr="00F72D79">
        <w:rPr>
          <w:rFonts w:ascii="Arial" w:hAnsi="Arial" w:cs="Arial"/>
          <w:sz w:val="20"/>
          <w:szCs w:val="20"/>
        </w:rPr>
        <w:t xml:space="preserve">. </w:t>
      </w:r>
    </w:p>
    <w:p w:rsidR="00F72D79" w:rsidRDefault="00F72D79" w:rsidP="00F72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97E">
        <w:rPr>
          <w:rFonts w:ascii="Arial" w:hAnsi="Arial" w:cs="Arial"/>
          <w:b/>
          <w:sz w:val="20"/>
          <w:szCs w:val="20"/>
        </w:rPr>
        <w:t xml:space="preserve">When </w:t>
      </w:r>
      <w:r>
        <w:rPr>
          <w:rFonts w:ascii="Arial" w:hAnsi="Arial" w:cs="Arial"/>
          <w:b/>
          <w:sz w:val="20"/>
          <w:szCs w:val="20"/>
        </w:rPr>
        <w:t xml:space="preserve">all </w:t>
      </w:r>
      <w:r w:rsidRPr="0067097E">
        <w:rPr>
          <w:rFonts w:ascii="Arial" w:hAnsi="Arial" w:cs="Arial"/>
          <w:b/>
          <w:sz w:val="20"/>
          <w:szCs w:val="20"/>
        </w:rPr>
        <w:t xml:space="preserve">the above conditions are satisfied we will issue a Formal Approval. </w:t>
      </w:r>
    </w:p>
    <w:p w:rsidR="00F72D79" w:rsidRDefault="00F72D79" w:rsidP="00F72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D79" w:rsidRPr="00F72D79" w:rsidRDefault="009E2C67" w:rsidP="009E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2D79">
        <w:rPr>
          <w:rFonts w:ascii="Arial" w:hAnsi="Arial" w:cs="Arial"/>
          <w:b/>
          <w:bCs/>
          <w:sz w:val="20"/>
          <w:szCs w:val="20"/>
        </w:rPr>
        <w:t>Pre-Approval is valid for 90 days from the date of this Advice</w:t>
      </w:r>
      <w:r w:rsidR="00F72D79" w:rsidRPr="00F72D7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71EC8" w:rsidRDefault="00F71EC8" w:rsidP="00967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71EC8" w:rsidRPr="00BC08C4" w:rsidRDefault="00BC08C4" w:rsidP="0096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8C4">
        <w:rPr>
          <w:rFonts w:ascii="Arial" w:hAnsi="Arial" w:cs="Arial"/>
          <w:sz w:val="20"/>
          <w:szCs w:val="20"/>
        </w:rPr>
        <w:t>Regards,</w:t>
      </w:r>
    </w:p>
    <w:p w:rsidR="00967C57" w:rsidRPr="00BC08C4" w:rsidRDefault="00967C57" w:rsidP="0096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8C4">
        <w:rPr>
          <w:rFonts w:ascii="Arial" w:hAnsi="Arial" w:cs="Arial"/>
          <w:sz w:val="20"/>
          <w:szCs w:val="20"/>
        </w:rPr>
        <w:t>Senior Credit Manager</w:t>
      </w:r>
    </w:p>
    <w:p w:rsidR="006F6E3A" w:rsidRDefault="001C2E36" w:rsidP="006F6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8C4">
        <w:rPr>
          <w:rFonts w:ascii="Arial" w:hAnsi="Arial" w:cs="Arial"/>
          <w:sz w:val="20"/>
          <w:szCs w:val="20"/>
        </w:rPr>
        <w:t>The Bank</w:t>
      </w:r>
      <w:r w:rsidR="006F6E3A" w:rsidRPr="006F6E3A">
        <w:rPr>
          <w:rFonts w:ascii="Arial" w:hAnsi="Arial" w:cs="Arial"/>
          <w:i/>
          <w:sz w:val="20"/>
          <w:szCs w:val="20"/>
        </w:rPr>
        <w:t xml:space="preserve"> </w:t>
      </w:r>
    </w:p>
    <w:p w:rsidR="00C45DDD" w:rsidRDefault="00C45DDD" w:rsidP="006F6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5DDD" w:rsidRDefault="00C45DDD" w:rsidP="006F6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F6E3A" w:rsidRDefault="006F6E3A" w:rsidP="006F6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F6E3A" w:rsidRPr="009E2C67" w:rsidRDefault="006F6E3A" w:rsidP="006F6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6F6E3A">
        <w:rPr>
          <w:rFonts w:ascii="Arial" w:hAnsi="Arial" w:cs="Arial"/>
          <w:b/>
          <w:i/>
          <w:sz w:val="20"/>
          <w:szCs w:val="20"/>
        </w:rPr>
        <w:t>PLEASE NOTE</w:t>
      </w:r>
      <w:r>
        <w:rPr>
          <w:rFonts w:ascii="Arial" w:hAnsi="Arial" w:cs="Arial"/>
          <w:i/>
          <w:sz w:val="20"/>
          <w:szCs w:val="20"/>
        </w:rPr>
        <w:t xml:space="preserve"> This Pre-Approval </w:t>
      </w:r>
      <w:r w:rsidRPr="009E2C67">
        <w:rPr>
          <w:rFonts w:ascii="Arial" w:hAnsi="Arial" w:cs="Arial"/>
          <w:i/>
          <w:sz w:val="20"/>
          <w:szCs w:val="20"/>
        </w:rPr>
        <w:t xml:space="preserve">will be subject to review should any of your financial details change; including employment, income or liability position. </w:t>
      </w:r>
      <w:r w:rsidRPr="009E2C6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E2C67">
        <w:rPr>
          <w:rFonts w:ascii="Arial" w:hAnsi="Arial" w:cs="Arial"/>
          <w:i/>
          <w:sz w:val="20"/>
          <w:szCs w:val="20"/>
        </w:rPr>
        <w:t xml:space="preserve">Where a Pre-Approval expires and/or requires re-assessment due to a change in your financial circumstance, The Bank assessment guidelines, maximum LVR’s and credit policy at the time of re-assessment will apply. </w:t>
      </w:r>
    </w:p>
    <w:p w:rsidR="00967C57" w:rsidRPr="00BC08C4" w:rsidRDefault="00967C57" w:rsidP="0096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u w:val="single"/>
        </w:rPr>
      </w:pPr>
    </w:p>
    <w:sectPr w:rsidR="00967C57" w:rsidRPr="00BC08C4" w:rsidSect="00BC08C4">
      <w:footerReference w:type="default" r:id="rId10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FC" w:rsidRDefault="00755EFC" w:rsidP="00837D43">
      <w:pPr>
        <w:spacing w:after="0" w:line="240" w:lineRule="auto"/>
      </w:pPr>
      <w:r>
        <w:separator/>
      </w:r>
    </w:p>
  </w:endnote>
  <w:endnote w:type="continuationSeparator" w:id="0">
    <w:p w:rsidR="00755EFC" w:rsidRDefault="00755EFC" w:rsidP="0083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70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2FBD" w:rsidRDefault="00522F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2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2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D43" w:rsidRDefault="0083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FC" w:rsidRDefault="00755EFC" w:rsidP="00837D43">
      <w:pPr>
        <w:spacing w:after="0" w:line="240" w:lineRule="auto"/>
      </w:pPr>
      <w:r>
        <w:separator/>
      </w:r>
    </w:p>
  </w:footnote>
  <w:footnote w:type="continuationSeparator" w:id="0">
    <w:p w:rsidR="00755EFC" w:rsidRDefault="00755EFC" w:rsidP="0083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A"/>
    <w:rsid w:val="0013160B"/>
    <w:rsid w:val="0014771B"/>
    <w:rsid w:val="001C2E36"/>
    <w:rsid w:val="001E747C"/>
    <w:rsid w:val="003851DB"/>
    <w:rsid w:val="00460D24"/>
    <w:rsid w:val="00522FBD"/>
    <w:rsid w:val="005312BE"/>
    <w:rsid w:val="005579FF"/>
    <w:rsid w:val="00620DC6"/>
    <w:rsid w:val="00637A1C"/>
    <w:rsid w:val="0067097E"/>
    <w:rsid w:val="006F6E3A"/>
    <w:rsid w:val="00755EFC"/>
    <w:rsid w:val="00790869"/>
    <w:rsid w:val="00825BA6"/>
    <w:rsid w:val="00837D43"/>
    <w:rsid w:val="008C1DE4"/>
    <w:rsid w:val="00967C57"/>
    <w:rsid w:val="00995429"/>
    <w:rsid w:val="009E2C67"/>
    <w:rsid w:val="00A8262A"/>
    <w:rsid w:val="00B94BD8"/>
    <w:rsid w:val="00BB4758"/>
    <w:rsid w:val="00BC08C4"/>
    <w:rsid w:val="00C45DDD"/>
    <w:rsid w:val="00D322E9"/>
    <w:rsid w:val="00EC2EDB"/>
    <w:rsid w:val="00F10777"/>
    <w:rsid w:val="00F71EC8"/>
    <w:rsid w:val="00F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43"/>
  </w:style>
  <w:style w:type="paragraph" w:styleId="Footer">
    <w:name w:val="footer"/>
    <w:basedOn w:val="Normal"/>
    <w:link w:val="FooterChar"/>
    <w:uiPriority w:val="99"/>
    <w:unhideWhenUsed/>
    <w:rsid w:val="0083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43"/>
  </w:style>
  <w:style w:type="paragraph" w:styleId="NoSpacing">
    <w:name w:val="No Spacing"/>
    <w:uiPriority w:val="1"/>
    <w:qFormat/>
    <w:rsid w:val="00BC0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C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1E747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1E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43"/>
  </w:style>
  <w:style w:type="paragraph" w:styleId="Footer">
    <w:name w:val="footer"/>
    <w:basedOn w:val="Normal"/>
    <w:link w:val="FooterChar"/>
    <w:uiPriority w:val="99"/>
    <w:unhideWhenUsed/>
    <w:rsid w:val="0083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43"/>
  </w:style>
  <w:style w:type="paragraph" w:styleId="NoSpacing">
    <w:name w:val="No Spacing"/>
    <w:uiPriority w:val="1"/>
    <w:qFormat/>
    <w:rsid w:val="00BC0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C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1E747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1E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Mamaj</dc:creator>
  <cp:lastModifiedBy>Steph</cp:lastModifiedBy>
  <cp:revision>2</cp:revision>
  <cp:lastPrinted>2016-10-05T00:32:00Z</cp:lastPrinted>
  <dcterms:created xsi:type="dcterms:W3CDTF">2016-12-01T04:09:00Z</dcterms:created>
  <dcterms:modified xsi:type="dcterms:W3CDTF">2016-12-01T04:09:00Z</dcterms:modified>
</cp:coreProperties>
</file>